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9B4064" w:rsidRPr="008E7A1B"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1D63C2">
        <w:rPr>
          <w:rFonts w:asciiTheme="minorEastAsia" w:hAnsiTheme="minorEastAsia" w:hint="eastAsia"/>
          <w:b/>
          <w:color w:val="0D0D0D" w:themeColor="text1" w:themeTint="F2"/>
          <w:sz w:val="28"/>
          <w:szCs w:val="44"/>
        </w:rPr>
        <w:t>八</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2016</w:t>
      </w:r>
      <w:r w:rsidRPr="008E7A1B">
        <w:rPr>
          <w:rFonts w:hint="eastAsia"/>
          <w:b/>
          <w:color w:val="0D0D0D" w:themeColor="text1" w:themeTint="F2"/>
          <w:sz w:val="28"/>
          <w:szCs w:val="44"/>
        </w:rPr>
        <w:t>年</w:t>
      </w:r>
      <w:r w:rsidR="001D63C2">
        <w:rPr>
          <w:rFonts w:hint="eastAsia"/>
          <w:b/>
          <w:color w:val="0D0D0D" w:themeColor="text1" w:themeTint="F2"/>
          <w:sz w:val="28"/>
          <w:szCs w:val="44"/>
        </w:rPr>
        <w:t>9</w:t>
      </w:r>
      <w:r w:rsidRPr="008E7A1B">
        <w:rPr>
          <w:rFonts w:hint="eastAsia"/>
          <w:b/>
          <w:color w:val="0D0D0D" w:themeColor="text1" w:themeTint="F2"/>
          <w:sz w:val="28"/>
          <w:szCs w:val="44"/>
        </w:rPr>
        <w:t>月</w:t>
      </w:r>
      <w:r w:rsidR="001D63C2">
        <w:rPr>
          <w:rFonts w:hint="eastAsia"/>
          <w:b/>
          <w:color w:val="0D0D0D" w:themeColor="text1" w:themeTint="F2"/>
          <w:sz w:val="28"/>
          <w:szCs w:val="44"/>
        </w:rPr>
        <w:t>14</w:t>
      </w:r>
      <w:r w:rsidRPr="008E7A1B">
        <w:rPr>
          <w:rFonts w:hint="eastAsia"/>
          <w:b/>
          <w:color w:val="0D0D0D" w:themeColor="text1" w:themeTint="F2"/>
          <w:sz w:val="28"/>
          <w:szCs w:val="44"/>
        </w:rPr>
        <w:t>日</w:t>
      </w:r>
    </w:p>
    <w:p w:rsidR="009B4064" w:rsidRPr="001034AC" w:rsidRDefault="001D63C2" w:rsidP="009B4064">
      <w:pPr>
        <w:rPr>
          <w:b/>
          <w:color w:val="0D0D0D" w:themeColor="text1" w:themeTint="F2"/>
          <w:sz w:val="28"/>
          <w:szCs w:val="44"/>
        </w:rPr>
      </w:pPr>
      <w:r>
        <w:rPr>
          <w:b/>
          <w:noProof/>
          <w:color w:val="0D0D0D" w:themeColor="text1" w:themeTint="F2"/>
          <w:sz w:val="28"/>
          <w:szCs w:val="44"/>
        </w:rPr>
        <mc:AlternateContent>
          <mc:Choice Requires="wps">
            <w:drawing>
              <wp:anchor distT="0" distB="0" distL="114300" distR="114300" simplePos="0" relativeHeight="251660288" behindDoc="0" locked="0" layoutInCell="1" allowOverlap="1">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9B4064" w:rsidRDefault="009B4064" w:rsidP="009B4064">
      <w:pPr>
        <w:rPr>
          <w:b/>
          <w:color w:val="0D0D0D" w:themeColor="text1" w:themeTint="F2"/>
          <w:sz w:val="28"/>
          <w:szCs w:val="44"/>
        </w:rPr>
      </w:pPr>
    </w:p>
    <w:p w:rsidR="001D63C2" w:rsidRPr="001D63C2" w:rsidRDefault="001D63C2" w:rsidP="001D63C2">
      <w:pPr>
        <w:spacing w:beforeLines="50" w:before="156"/>
        <w:jc w:val="center"/>
        <w:rPr>
          <w:sz w:val="36"/>
          <w:szCs w:val="24"/>
        </w:rPr>
      </w:pPr>
      <w:r w:rsidRPr="001D63C2">
        <w:rPr>
          <w:rFonts w:hint="eastAsia"/>
          <w:sz w:val="36"/>
          <w:szCs w:val="24"/>
        </w:rPr>
        <w:t>党委召开党建工作会议，部署深入开展</w:t>
      </w:r>
    </w:p>
    <w:p w:rsidR="001D63C2" w:rsidRPr="001D63C2" w:rsidRDefault="001D63C2" w:rsidP="001D63C2">
      <w:pPr>
        <w:spacing w:beforeLines="50" w:before="156"/>
        <w:jc w:val="center"/>
        <w:rPr>
          <w:sz w:val="36"/>
          <w:szCs w:val="24"/>
        </w:rPr>
      </w:pPr>
      <w:r w:rsidRPr="001D63C2">
        <w:rPr>
          <w:rFonts w:hint="eastAsia"/>
          <w:sz w:val="36"/>
          <w:szCs w:val="24"/>
        </w:rPr>
        <w:t>“两学一做”学习教育</w:t>
      </w:r>
    </w:p>
    <w:p w:rsidR="001D63C2" w:rsidRPr="001D63C2" w:rsidRDefault="001D63C2" w:rsidP="001D63C2">
      <w:pPr>
        <w:spacing w:beforeLines="50" w:before="156"/>
        <w:jc w:val="center"/>
        <w:rPr>
          <w:sz w:val="36"/>
          <w:szCs w:val="24"/>
        </w:rPr>
      </w:pP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9月13日下午，学院党委召开党建工作会议，研究制定学院2016-2017学年党建工作计划；认真总结前一阶段“两学一做”学习教育，研究部署下一阶段工作，把“两学一做”学习教育推向深入。学院党委书记许从进，党委副书记何锐连和学院党委、纪委成员以及各党支部书记参加会议。</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一、会议总结了前一阶段“两学一做”学习教育，认为学院党委认真贯彻中央和省委文件精神和工作部署，结合实际扎实深入开展“两学一做”学习教育。</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全体党员思想重视，积极投入，各支部加强组织领导，明确任务要求，抓实抓好学习教育六个规定动作。根据工作的实际，学院党委制定了学习教育实施方案；召开了“两学一做”学习教育组织工作会议，作出全面部署，提出了具体要求；编印了《“两学一做”学习资料》；制定了《广东碧桂园职业学院“两学一做”学习教育具体内容清单（学习计划）》和《广</w:t>
      </w:r>
      <w:r w:rsidRPr="001D63C2">
        <w:rPr>
          <w:rFonts w:ascii="宋体" w:eastAsia="宋体" w:hAnsi="宋体" w:cs="宋体" w:hint="eastAsia"/>
          <w:kern w:val="0"/>
          <w:sz w:val="28"/>
          <w:szCs w:val="28"/>
        </w:rPr>
        <w:lastRenderedPageBreak/>
        <w:t>东碧桂园职业学院“两学一做”学习教育工作指引》；开辟了网上“两学一做”学习教育平台，推送学习材料，开展网络学习，交流学习心得；开设了“两学一做”宣传栏，增强学习气氛；编印了《“两学一做”学习教育简报》，及时通报学习教育情况。</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学习教育结合实际，边学边做，形式多样，有声有色。党委与广东广播电视台广播新闻中心党支部举行了“怎样做‘合格党员’”“两学一做”主题党日交流会；举办了 “纪念中国共产党成立95周年专题党课”，“学《准则》、《条例》专题辅导报告会”，庆祝中国共产党成立95周年暨优秀党员表彰大会等；组织了庆祝建党成立95周年主题党日（树山村访贫问苦）活动；建工专业党支部组织在工地现场上主题党课；学生支部举办入党积极分子高级培训班党性教育专题党课等。</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两学一做”学习教育促进了党的建设，落实了党的组织、党的工作“两个覆盖”。5月15日，学院成立了党委，并以此为契机，建立和健全了各基层党支部、党小组，増设了党务部。落实了党建工作机构设置、党务人员配备、党建阵地建设、党建工作制度和党建工作经费保障等；落实党建责任清单；落实了“三会一课”等党员教育管理制度；健全了党的组织生活，抓好党组织关系管理。这是开展“两学一做”学习教育取得的重要成果。</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思想重视，积极参与，在“两学一做 ”学习教育考学中，全院61名党员全部参加考学，参考比例为100%，平均成绩为91.18分,满分率13.11%。</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lastRenderedPageBreak/>
        <w:t>二、会议研究了2016～2017新学年的党建工作，提出要认真贯彻落实习近平总书记 “党要管党，从严治党” 的指示精神，提高认识，加强领导，落实党建工作各项任务。</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当前学院党建工作的重点是继续认真贯彻中央和省委文件精神和工作部署,落实《广东碧桂园职业学院党员“学党章党规、学系列讲话，做合格党员”学习教育实施方案》，结合实际扎实深入开展“两学一做”学习教育。按照规定动作做好，自选动作做优的要求，深入开展学习教育，边学边做，要讲求实效，以学习教育推动学院党建工作的开展。</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 xml:space="preserve">要提高认识，重视加强党建，落实党建工作的职责任务。要继续深入贯彻落实中央和省委关于加强社会组织党的建设工作的一系列文件精神，落实党的组织、党的工作“两个覆盖”；落实党建责任清单；落实“三会一课”等党员教育管理制度；健全了党的组织生活，党组织真正成为“政治核心”、“战斗保垒”，党员真正成为“先锋模范”。 </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会议强调，新学年学院党建工作要聚焦人才培养，要与学院的教学改革、人才培养紧密结合，党组织要为学院的建设、改革和发展提供政治思想和组织保证，起到政治核心作用、战斗堡垒作用；</w:t>
      </w:r>
      <w:r w:rsidR="009A3F9A">
        <w:rPr>
          <w:rFonts w:ascii="宋体" w:eastAsia="宋体" w:hAnsi="宋体" w:cs="宋体" w:hint="eastAsia"/>
          <w:kern w:val="0"/>
          <w:sz w:val="28"/>
          <w:szCs w:val="28"/>
        </w:rPr>
        <w:t>共产</w:t>
      </w:r>
      <w:bookmarkStart w:id="0" w:name="_GoBack"/>
      <w:bookmarkEnd w:id="0"/>
      <w:r w:rsidRPr="001D63C2">
        <w:rPr>
          <w:rFonts w:ascii="宋体" w:eastAsia="宋体" w:hAnsi="宋体" w:cs="宋体" w:hint="eastAsia"/>
          <w:kern w:val="0"/>
          <w:sz w:val="28"/>
          <w:szCs w:val="28"/>
        </w:rPr>
        <w:t>党员要在教学改革中带头攻坚克难，起到先锋模范作用。要创新党建工作的内容和方法，培育学院党建工作的新“亮点”，创新碧桂园职院的党建特色。</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会上，许从进书记肯定了学院前一阶段党建工作取得新的成绩，认为围绕“两学一做”，成效可圈可点，并对党建工作提出七点要求：</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1、要紧紧围绕“两学一做”搭台唱戏，学到位、做到实，重点是党员立足岗位做贡献。</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lastRenderedPageBreak/>
        <w:t>2、党员干部要围绕中心工作，发挥模范带头作用，发挥党组织战斗堡垒作用。</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3、学院党员已经挂牌上岗，要提醒党员和党员干部在言行、作风上发挥党员的模范带头作用。</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4、研究组织开展“鹰架行动”，每名党员导师确定重点培养、辅导一名以上的学生，。</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5、要做好发展新党员的工作，特别是学生党员的培养、发展工作。</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6、要做好各支部的特色党建工作，结合专业开展党课、建立党员先锋岗，以及相关材料的整理、宣传工作。</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7、组织开展形式多样的党组织生活和丰富多彩的工、青、妇活动等。</w:t>
      </w:r>
    </w:p>
    <w:p w:rsidR="001D63C2" w:rsidRPr="001D63C2" w:rsidRDefault="001D63C2" w:rsidP="001D63C2">
      <w:pPr>
        <w:widowControl/>
        <w:spacing w:line="360" w:lineRule="auto"/>
        <w:ind w:firstLineChars="200" w:firstLine="560"/>
        <w:jc w:val="left"/>
        <w:rPr>
          <w:rFonts w:ascii="宋体" w:eastAsia="宋体" w:hAnsi="宋体" w:cs="宋体"/>
          <w:kern w:val="0"/>
          <w:sz w:val="28"/>
          <w:szCs w:val="28"/>
        </w:rPr>
      </w:pPr>
      <w:r w:rsidRPr="001D63C2">
        <w:rPr>
          <w:rFonts w:ascii="宋体" w:eastAsia="宋体" w:hAnsi="宋体" w:cs="宋体" w:hint="eastAsia"/>
          <w:kern w:val="0"/>
          <w:sz w:val="28"/>
          <w:szCs w:val="28"/>
        </w:rPr>
        <w:t>会议还研究了学生党员发展、雏鹰计划，党员组织活动以及党员教育，党员先锋岗等具体工作，并根据会议讨论确定的意见，进一步细化党建工作计划。</w:t>
      </w:r>
    </w:p>
    <w:p w:rsidR="009B4064" w:rsidRPr="001D63C2" w:rsidRDefault="009B4064" w:rsidP="001D63C2">
      <w:pPr>
        <w:widowControl/>
        <w:spacing w:line="360" w:lineRule="auto"/>
        <w:ind w:firstLineChars="200" w:firstLine="560"/>
        <w:jc w:val="left"/>
        <w:rPr>
          <w:rFonts w:ascii="宋体" w:eastAsia="宋体" w:hAnsi="宋体" w:cs="宋体"/>
          <w:kern w:val="0"/>
          <w:sz w:val="28"/>
          <w:szCs w:val="28"/>
        </w:rPr>
      </w:pPr>
    </w:p>
    <w:sectPr w:rsidR="009B4064" w:rsidRPr="001D63C2" w:rsidSect="0034076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E2C" w:rsidRDefault="00EB5E2C" w:rsidP="009B4064">
      <w:r>
        <w:separator/>
      </w:r>
    </w:p>
  </w:endnote>
  <w:endnote w:type="continuationSeparator" w:id="0">
    <w:p w:rsidR="00EB5E2C" w:rsidRDefault="00EB5E2C"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819EAD4-6DE9-410D-BD85-152B25B48825}"/>
    <w:embedBold r:id="rId2" w:fontKey="{B5046610-4AB5-4F4B-85B3-DAA9F6C8A81F}"/>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5F03EB66-FC8B-4D80-AE8D-4EA432A5623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E2C" w:rsidRDefault="00EB5E2C" w:rsidP="009B4064">
      <w:r>
        <w:separator/>
      </w:r>
    </w:p>
  </w:footnote>
  <w:footnote w:type="continuationSeparator" w:id="0">
    <w:p w:rsidR="00EB5E2C" w:rsidRDefault="00EB5E2C"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1067B4"/>
    <w:rsid w:val="001D63C2"/>
    <w:rsid w:val="002B28FE"/>
    <w:rsid w:val="004B2764"/>
    <w:rsid w:val="00874FFB"/>
    <w:rsid w:val="008A3905"/>
    <w:rsid w:val="009A3F9A"/>
    <w:rsid w:val="009A4752"/>
    <w:rsid w:val="009B4064"/>
    <w:rsid w:val="00B66321"/>
    <w:rsid w:val="00E379F8"/>
    <w:rsid w:val="00EB5E2C"/>
    <w:rsid w:val="00F865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296</Words>
  <Characters>1692</Characters>
  <Application>Microsoft Office Word</Application>
  <DocSecurity>0</DocSecurity>
  <Lines>14</Lines>
  <Paragraphs>3</Paragraphs>
  <ScaleCrop>false</ScaleCrop>
  <Company>Microsoft</Company>
  <LinksUpToDate>false</LinksUpToDate>
  <CharactersWithSpaces>1985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2016-09-20T03:43:00Z</dcterms:created>
  <dcterms:modified xsi:type="dcterms:W3CDTF">2016-09-20T04:04:00Z</dcterms:modified>
</cp:coreProperties>
</file>